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4E69" w14:textId="7F1264C5" w:rsidR="00F5713D" w:rsidRPr="006C23F5" w:rsidRDefault="00F5713D" w:rsidP="00B71AD7">
      <w:pPr>
        <w:spacing w:after="60"/>
        <w:jc w:val="both"/>
        <w:rPr>
          <w:rFonts w:ascii="Arial" w:hAnsi="Arial" w:cs="Arial"/>
          <w:b/>
          <w:lang w:val="en-US"/>
        </w:rPr>
      </w:pPr>
      <w:r w:rsidRPr="006C23F5">
        <w:rPr>
          <w:rFonts w:ascii="Arial" w:hAnsi="Arial" w:cs="Arial"/>
          <w:b/>
          <w:lang w:val="en-US"/>
        </w:rPr>
        <w:t>Amendment</w:t>
      </w:r>
      <w:r w:rsidR="00EF4C3E" w:rsidRPr="006C23F5">
        <w:rPr>
          <w:rFonts w:ascii="Arial" w:hAnsi="Arial" w:cs="Arial"/>
          <w:b/>
          <w:lang w:val="en-US"/>
        </w:rPr>
        <w:t>s</w:t>
      </w:r>
      <w:r w:rsidRPr="006C23F5">
        <w:rPr>
          <w:rFonts w:ascii="Arial" w:hAnsi="Arial" w:cs="Arial"/>
          <w:b/>
          <w:lang w:val="en-US"/>
        </w:rPr>
        <w:t xml:space="preserve"> shall be effective as of </w:t>
      </w:r>
      <w:r w:rsidR="00D5682E" w:rsidRPr="006C23F5">
        <w:rPr>
          <w:rFonts w:ascii="Arial" w:hAnsi="Arial" w:cs="Arial"/>
          <w:b/>
          <w:lang w:val="en-US"/>
        </w:rPr>
        <w:t>October</w:t>
      </w:r>
      <w:r w:rsidR="00A75003" w:rsidRPr="006C23F5">
        <w:rPr>
          <w:rFonts w:ascii="Arial" w:hAnsi="Arial" w:cs="Arial"/>
          <w:b/>
        </w:rPr>
        <w:t xml:space="preserve"> </w:t>
      </w:r>
      <w:r w:rsidR="007E4566">
        <w:rPr>
          <w:rFonts w:ascii="Arial" w:hAnsi="Arial" w:cs="Arial"/>
          <w:b/>
        </w:rPr>
        <w:t>17,</w:t>
      </w:r>
      <w:r w:rsidR="00294192" w:rsidRPr="006C23F5">
        <w:rPr>
          <w:rFonts w:ascii="Arial" w:hAnsi="Arial" w:cs="Arial"/>
          <w:b/>
        </w:rPr>
        <w:t xml:space="preserve"> 2022</w:t>
      </w:r>
    </w:p>
    <w:p w14:paraId="2076D91B" w14:textId="691E256C" w:rsidR="00746B8E" w:rsidRPr="006C23F5" w:rsidRDefault="00EF4C3E" w:rsidP="00B71AD7">
      <w:pPr>
        <w:spacing w:after="60"/>
        <w:jc w:val="both"/>
        <w:rPr>
          <w:rFonts w:ascii="Arial" w:hAnsi="Arial" w:cs="Arial"/>
          <w:b/>
          <w:lang w:val="en-US"/>
        </w:rPr>
      </w:pPr>
      <w:r w:rsidRPr="006C23F5">
        <w:rPr>
          <w:rFonts w:ascii="Arial" w:hAnsi="Arial" w:cs="Arial"/>
          <w:b/>
          <w:lang w:val="en-US"/>
        </w:rPr>
        <w:t>The following amendments</w:t>
      </w:r>
      <w:r w:rsidR="00CD6B98" w:rsidRPr="006C23F5">
        <w:rPr>
          <w:rFonts w:ascii="Arial" w:hAnsi="Arial" w:cs="Arial"/>
          <w:b/>
          <w:lang w:val="en-US"/>
        </w:rPr>
        <w:t xml:space="preserve"> </w:t>
      </w:r>
      <w:r w:rsidRPr="006C23F5">
        <w:rPr>
          <w:rFonts w:ascii="Arial" w:hAnsi="Arial" w:cs="Arial"/>
          <w:b/>
          <w:lang w:val="en-US"/>
        </w:rPr>
        <w:t>were</w:t>
      </w:r>
      <w:r w:rsidR="00CD6B98" w:rsidRPr="006C23F5">
        <w:rPr>
          <w:rFonts w:ascii="Arial" w:hAnsi="Arial" w:cs="Arial"/>
          <w:b/>
          <w:lang w:val="en-US"/>
        </w:rPr>
        <w:t xml:space="preserve"> introduced to the </w:t>
      </w:r>
      <w:r w:rsidR="00294192" w:rsidRPr="006C23F5">
        <w:rPr>
          <w:rFonts w:ascii="Arial" w:hAnsi="Arial" w:cs="Arial"/>
          <w:b/>
          <w:lang w:val="en-US"/>
        </w:rPr>
        <w:t>Banking Services Conditions</w:t>
      </w:r>
      <w:r w:rsidR="00CD6B98" w:rsidRPr="006C23F5">
        <w:rPr>
          <w:rFonts w:ascii="Arial" w:hAnsi="Arial" w:cs="Arial"/>
          <w:b/>
          <w:lang w:val="en-US"/>
        </w:rPr>
        <w:t xml:space="preserve"> </w:t>
      </w:r>
      <w:r w:rsidR="00D97D92" w:rsidRPr="006C23F5">
        <w:rPr>
          <w:rFonts w:ascii="Arial" w:hAnsi="Arial" w:cs="Arial"/>
          <w:b/>
        </w:rPr>
        <w:t xml:space="preserve">published </w:t>
      </w:r>
      <w:r w:rsidRPr="006C23F5">
        <w:rPr>
          <w:rFonts w:ascii="Arial" w:hAnsi="Arial" w:cs="Arial"/>
          <w:b/>
        </w:rPr>
        <w:t xml:space="preserve">on the web page </w:t>
      </w:r>
      <w:hyperlink r:id="rId7" w:history="1">
        <w:r w:rsidR="00CD6B98" w:rsidRPr="006C23F5">
          <w:rPr>
            <w:rStyle w:val="Hyperlink"/>
            <w:rFonts w:ascii="Arial" w:hAnsi="Arial" w:cs="Arial"/>
            <w:lang w:val="en-US"/>
          </w:rPr>
          <w:t>www.procreditbank.ge</w:t>
        </w:r>
      </w:hyperlink>
      <w:r w:rsidR="003D33DF" w:rsidRPr="006C23F5">
        <w:rPr>
          <w:rFonts w:ascii="Arial" w:hAnsi="Arial" w:cs="Arial"/>
          <w:b/>
          <w:lang w:val="en-US"/>
        </w:rPr>
        <w:t>:</w:t>
      </w:r>
    </w:p>
    <w:p w14:paraId="0A7394D0" w14:textId="77777777" w:rsidR="00746B8E" w:rsidRPr="006C23F5" w:rsidRDefault="00746B8E" w:rsidP="00B71AD7">
      <w:pPr>
        <w:spacing w:after="60"/>
        <w:jc w:val="both"/>
        <w:rPr>
          <w:rFonts w:ascii="Arial" w:hAnsi="Arial" w:cs="Arial"/>
          <w:b/>
          <w:u w:val="single"/>
          <w:lang w:val="en-US"/>
        </w:rPr>
      </w:pPr>
    </w:p>
    <w:p w14:paraId="4FDDCFED" w14:textId="5EB50C89" w:rsidR="00294192" w:rsidRDefault="00682BEB" w:rsidP="00294192">
      <w:pPr>
        <w:spacing w:after="60"/>
        <w:jc w:val="both"/>
        <w:rPr>
          <w:rFonts w:ascii="Arial" w:hAnsi="Arial" w:cs="Arial"/>
          <w:b/>
          <w:u w:val="single"/>
          <w:lang w:val="en-US"/>
        </w:rPr>
      </w:pPr>
      <w:r w:rsidRPr="006C23F5">
        <w:rPr>
          <w:rFonts w:ascii="Arial" w:hAnsi="Arial" w:cs="Arial"/>
          <w:b/>
          <w:u w:val="single"/>
          <w:lang w:val="en-US"/>
        </w:rPr>
        <w:t>1</w:t>
      </w:r>
      <w:r w:rsidR="006C18DA" w:rsidRPr="006C23F5">
        <w:rPr>
          <w:rFonts w:ascii="Arial" w:hAnsi="Arial" w:cs="Arial"/>
          <w:b/>
          <w:u w:val="single"/>
          <w:lang w:val="en-US"/>
        </w:rPr>
        <w:t>.</w:t>
      </w:r>
      <w:r w:rsidR="00E959F4">
        <w:rPr>
          <w:rFonts w:ascii="Arial" w:hAnsi="Arial" w:cs="Arial"/>
          <w:b/>
          <w:u w:val="single"/>
          <w:lang w:val="en-US"/>
        </w:rPr>
        <w:t xml:space="preserve"> </w:t>
      </w:r>
      <w:r w:rsidR="00E959F4" w:rsidRPr="00E959F4">
        <w:rPr>
          <w:rFonts w:ascii="Arial" w:hAnsi="Arial" w:cs="Arial"/>
          <w:b/>
          <w:u w:val="single"/>
          <w:lang w:val="en-US"/>
        </w:rPr>
        <w:t xml:space="preserve">The possibility of biometric identification of the client was added to </w:t>
      </w:r>
      <w:r w:rsidR="00E959F4" w:rsidRPr="006C23F5">
        <w:rPr>
          <w:rFonts w:ascii="Arial" w:hAnsi="Arial" w:cs="Arial"/>
          <w:b/>
          <w:lang w:val="en-US"/>
        </w:rPr>
        <w:t>the Banking Services Conditions</w:t>
      </w:r>
      <w:r w:rsidR="00E959F4" w:rsidRPr="00E959F4">
        <w:rPr>
          <w:rFonts w:ascii="Arial" w:hAnsi="Arial" w:cs="Arial"/>
          <w:b/>
          <w:u w:val="single"/>
          <w:lang w:val="en-US"/>
        </w:rPr>
        <w:t xml:space="preserve">, accordingly, </w:t>
      </w:r>
      <w:r w:rsidR="00E959F4">
        <w:rPr>
          <w:rFonts w:ascii="Arial" w:hAnsi="Arial" w:cs="Arial"/>
          <w:b/>
          <w:u w:val="single"/>
          <w:lang w:val="en-US"/>
        </w:rPr>
        <w:t>t</w:t>
      </w:r>
      <w:r w:rsidR="00294192" w:rsidRPr="006C23F5">
        <w:rPr>
          <w:rFonts w:ascii="Arial" w:hAnsi="Arial" w:cs="Arial"/>
          <w:b/>
          <w:u w:val="single"/>
          <w:lang w:val="en-US"/>
        </w:rPr>
        <w:t xml:space="preserve">he </w:t>
      </w:r>
      <w:r w:rsidR="00AE3CC1" w:rsidRPr="006C23F5">
        <w:rPr>
          <w:rFonts w:ascii="Arial" w:hAnsi="Arial" w:cs="Arial"/>
          <w:b/>
          <w:u w:val="single"/>
          <w:lang w:val="en-US"/>
        </w:rPr>
        <w:t>Article</w:t>
      </w:r>
      <w:r w:rsidR="00294192" w:rsidRPr="006C23F5">
        <w:rPr>
          <w:rFonts w:ascii="Arial" w:hAnsi="Arial" w:cs="Arial"/>
          <w:b/>
          <w:u w:val="single"/>
          <w:lang w:val="en-US"/>
        </w:rPr>
        <w:t xml:space="preserve"> </w:t>
      </w:r>
      <w:r w:rsidR="00AE3CC1" w:rsidRPr="006C23F5">
        <w:rPr>
          <w:rFonts w:ascii="Arial" w:hAnsi="Arial" w:cs="Arial"/>
          <w:b/>
          <w:u w:val="single"/>
          <w:lang w:val="en-US"/>
        </w:rPr>
        <w:t>2</w:t>
      </w:r>
      <w:r w:rsidR="00AE3CC1" w:rsidRPr="006C23F5">
        <w:rPr>
          <w:rFonts w:ascii="Arial" w:hAnsi="Arial" w:cs="Arial"/>
          <w:b/>
          <w:u w:val="single"/>
          <w:vertAlign w:val="superscript"/>
          <w:lang w:val="en-US"/>
        </w:rPr>
        <w:t>2</w:t>
      </w:r>
      <w:r w:rsidR="00294192" w:rsidRPr="006C23F5">
        <w:rPr>
          <w:rFonts w:ascii="Arial" w:hAnsi="Arial" w:cs="Arial"/>
          <w:b/>
          <w:u w:val="single"/>
          <w:lang w:val="en-US"/>
        </w:rPr>
        <w:t xml:space="preserve"> shall be amended as follows:</w:t>
      </w:r>
    </w:p>
    <w:p w14:paraId="543C2453" w14:textId="77777777" w:rsidR="00DA54AA" w:rsidRPr="006C23F5" w:rsidRDefault="00DA54AA" w:rsidP="00294192">
      <w:pPr>
        <w:spacing w:after="60"/>
        <w:jc w:val="both"/>
        <w:rPr>
          <w:rFonts w:ascii="Arial" w:hAnsi="Arial" w:cs="Arial"/>
          <w:b/>
          <w:u w:val="single"/>
          <w:lang w:val="en-US"/>
        </w:rPr>
      </w:pPr>
    </w:p>
    <w:p w14:paraId="7873B2EE" w14:textId="09DAC503" w:rsidR="007E0510" w:rsidRPr="006C23F5" w:rsidRDefault="007E0510" w:rsidP="007E0510">
      <w:pPr>
        <w:spacing w:before="60" w:after="60" w:line="288" w:lineRule="auto"/>
        <w:jc w:val="both"/>
        <w:rPr>
          <w:rFonts w:ascii="Arial" w:hAnsi="Arial" w:cs="Arial"/>
          <w:b/>
          <w:color w:val="FF0000"/>
        </w:rPr>
      </w:pPr>
      <w:r w:rsidRPr="006C23F5">
        <w:rPr>
          <w:rFonts w:ascii="Arial" w:hAnsi="Arial" w:cs="Arial"/>
          <w:color w:val="FF0000"/>
        </w:rPr>
        <w:t>“</w:t>
      </w:r>
      <w:r w:rsidR="00AE3CC1" w:rsidRPr="006C23F5">
        <w:rPr>
          <w:rFonts w:ascii="Arial" w:hAnsi="Arial" w:cs="Arial"/>
          <w:b/>
          <w:color w:val="FF0000"/>
        </w:rPr>
        <w:t>Article</w:t>
      </w:r>
      <w:r w:rsidR="00AE3CC1" w:rsidRPr="006C23F5">
        <w:rPr>
          <w:rFonts w:ascii="Arial" w:hAnsi="Arial" w:cs="Arial"/>
          <w:color w:val="FF0000"/>
        </w:rPr>
        <w:t xml:space="preserve"> </w:t>
      </w:r>
      <w:r w:rsidR="00AE3CC1" w:rsidRPr="006C23F5">
        <w:rPr>
          <w:rFonts w:ascii="Arial" w:hAnsi="Arial" w:cs="Arial"/>
          <w:b/>
          <w:color w:val="FF0000"/>
        </w:rPr>
        <w:t>2</w:t>
      </w:r>
      <w:r w:rsidR="00AE3CC1" w:rsidRPr="006C23F5">
        <w:rPr>
          <w:rFonts w:ascii="Arial" w:hAnsi="Arial" w:cs="Arial"/>
          <w:b/>
          <w:color w:val="FF0000"/>
          <w:vertAlign w:val="superscript"/>
        </w:rPr>
        <w:t>2</w:t>
      </w:r>
      <w:r w:rsidRPr="006C23F5">
        <w:rPr>
          <w:rFonts w:ascii="Arial" w:hAnsi="Arial" w:cs="Arial"/>
          <w:b/>
          <w:color w:val="FF0000"/>
        </w:rPr>
        <w:t xml:space="preserve">. </w:t>
      </w:r>
      <w:r w:rsidR="00AE3CC1" w:rsidRPr="006C23F5">
        <w:rPr>
          <w:rFonts w:ascii="Arial" w:hAnsi="Arial" w:cs="Arial"/>
          <w:b/>
          <w:color w:val="FF0000"/>
        </w:rPr>
        <w:t>Client Online Identification</w:t>
      </w:r>
    </w:p>
    <w:p w14:paraId="17208461"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1. Online identification includes:</w:t>
      </w:r>
    </w:p>
    <w:p w14:paraId="558343F8"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 xml:space="preserve">1.1 Video identification - remote identification/verification of a person through appropriate software and video call.  </w:t>
      </w:r>
      <w:bookmarkStart w:id="0" w:name="_GoBack"/>
      <w:bookmarkEnd w:id="0"/>
    </w:p>
    <w:p w14:paraId="27D36CEB"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1.2 Biometric identification - remote identification/verification of a person, which involves the use of a face recognition system to provide the so-called liveness check and biometric comparison of faces in selfie and ID document photos.</w:t>
      </w:r>
    </w:p>
    <w:p w14:paraId="75063574"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2. For the purposes of this article, the term "Customer" in each specific case, depending on the context, refers to both the private individual and the business customer and the person authorized for its management and representation, who applies to the Bank to receive banking services based on online identification.</w:t>
      </w:r>
    </w:p>
    <w:p w14:paraId="0A3DAB4A"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3. The Bank identifies the Customer online to provide the Customer with various banking services defined by the Bank under the rules and restrictions established at the Bank.</w:t>
      </w:r>
    </w:p>
    <w:p w14:paraId="7AE0EB01"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4. If, during online identification, an ID document submitted by the Customer is forged, the data specified in the application are incorrect or the submitted document does not belong to the person going through the identification, the Bank may quit the identification process and refuse the service to the Customer.</w:t>
      </w:r>
    </w:p>
    <w:p w14:paraId="21A47D40"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 xml:space="preserve">5. The Customer shall provide accurate and authentic information in the application for identification. The Customer confirms and is aware that the Bank will use the data specified by the Customer in the application during the provision of various services, including the activation of a new service. </w:t>
      </w:r>
    </w:p>
    <w:p w14:paraId="3E65CBB4"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6. After having opened a current account through online identification, the Customer will have access to basic banking products. Besides, before the face-to-face identification of the Customer, banking transactions on the account opened through online identification are subject to the Order No 48/04 of 30 March 2021 of the President of the National Bank of Georgia (NBG) "On the Approval of the Rules for Electronic Implementation of Preventive Measures by the Accountable Person" and the limits and restrictions established under the regulations of the Bank.</w:t>
      </w:r>
    </w:p>
    <w:p w14:paraId="62448EDB"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7. In case of the presence/detection of increased risk factors, the Bank reserves the right to set further restrictions and limits on the banking transactions using accounts opened through online identification.</w:t>
      </w:r>
    </w:p>
    <w:p w14:paraId="7B2958EC"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8. After completing the online identification process, the Bank confirms the identification. The Customer has access to the relevant remote service only if the Bank confirms that the identification process has been successful. The Bank may reject the identification and determine that the identification process has failed. The Bank will notify the Customer in case of failed identification.</w:t>
      </w:r>
    </w:p>
    <w:p w14:paraId="7C454F1D"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lastRenderedPageBreak/>
        <w:t>9. The Customer is aware and agrees that the Bank will process, for the purpose of identification/verification, the Customer’s personal data (including biometric data) as established by legislation. The process includes:</w:t>
      </w:r>
    </w:p>
    <w:p w14:paraId="09F915A2" w14:textId="77777777" w:rsidR="00AE3CC1" w:rsidRPr="006C23F5" w:rsidRDefault="00AE3CC1" w:rsidP="00AE3CC1">
      <w:pPr>
        <w:pStyle w:val="ListParagraph"/>
        <w:numPr>
          <w:ilvl w:val="0"/>
          <w:numId w:val="24"/>
        </w:numPr>
        <w:shd w:val="clear" w:color="auto" w:fill="FFFFFF"/>
        <w:spacing w:before="60" w:after="60" w:line="288" w:lineRule="auto"/>
        <w:jc w:val="both"/>
        <w:rPr>
          <w:rFonts w:eastAsia="Times New Roman"/>
          <w:color w:val="FF0000"/>
          <w:lang w:eastAsia="ka-GE"/>
        </w:rPr>
      </w:pPr>
      <w:r w:rsidRPr="006C23F5">
        <w:rPr>
          <w:rFonts w:eastAsia="Times New Roman"/>
          <w:color w:val="FF0000"/>
          <w:lang w:eastAsia="ka-GE"/>
        </w:rPr>
        <w:t>At video identification - taking photos of the Customer and the submitted ID document, and making video and audio recordings of communication with the Customer by a bank employee using the software</w:t>
      </w:r>
    </w:p>
    <w:p w14:paraId="33BF9256" w14:textId="77777777" w:rsidR="00AE3CC1" w:rsidRPr="006C23F5" w:rsidRDefault="00AE3CC1" w:rsidP="00AE3CC1">
      <w:pPr>
        <w:pStyle w:val="ListParagraph"/>
        <w:numPr>
          <w:ilvl w:val="0"/>
          <w:numId w:val="24"/>
        </w:numPr>
        <w:shd w:val="clear" w:color="auto" w:fill="FFFFFF"/>
        <w:spacing w:before="60" w:after="60" w:line="288" w:lineRule="auto"/>
        <w:jc w:val="both"/>
        <w:rPr>
          <w:rFonts w:eastAsia="Times New Roman"/>
          <w:color w:val="FF0000"/>
          <w:lang w:eastAsia="ka-GE"/>
        </w:rPr>
      </w:pPr>
      <w:r w:rsidRPr="006C23F5">
        <w:rPr>
          <w:rFonts w:eastAsia="Times New Roman"/>
          <w:color w:val="FF0000"/>
          <w:lang w:eastAsia="ka-GE"/>
        </w:rPr>
        <w:t>At biometric identification - taking photos/selfies of the Customer and his/her ID document, providing biometric face comparison, and performing a video task using the software</w:t>
      </w:r>
    </w:p>
    <w:p w14:paraId="575DC6B5" w14:textId="77777777" w:rsidR="00AE3CC1" w:rsidRPr="006C23F5" w:rsidRDefault="00AE3CC1" w:rsidP="00AE3CC1">
      <w:pPr>
        <w:pStyle w:val="ListParagraph"/>
        <w:numPr>
          <w:ilvl w:val="0"/>
          <w:numId w:val="24"/>
        </w:numPr>
        <w:shd w:val="clear" w:color="auto" w:fill="FFFFFF"/>
        <w:spacing w:before="60" w:after="60" w:line="288" w:lineRule="auto"/>
        <w:jc w:val="both"/>
        <w:rPr>
          <w:rFonts w:eastAsia="Times New Roman"/>
          <w:color w:val="FF0000"/>
          <w:lang w:eastAsia="ka-GE"/>
        </w:rPr>
      </w:pPr>
      <w:r w:rsidRPr="006C23F5">
        <w:rPr>
          <w:rFonts w:eastAsia="Times New Roman"/>
          <w:color w:val="FF0000"/>
          <w:lang w:eastAsia="ka-GE"/>
        </w:rPr>
        <w:t>Checking the authenticity of an ID document and providing verification based on the electronic database of the LEPL Public Services Development Agency.</w:t>
      </w:r>
    </w:p>
    <w:p w14:paraId="439CE2F3" w14:textId="77777777" w:rsidR="00AE3CC1" w:rsidRPr="006C23F5" w:rsidRDefault="00AE3CC1" w:rsidP="00AE3CC1">
      <w:pPr>
        <w:shd w:val="clear" w:color="auto" w:fill="FFFFFF"/>
        <w:spacing w:before="60" w:after="60" w:line="288" w:lineRule="auto"/>
        <w:jc w:val="both"/>
        <w:rPr>
          <w:color w:val="FF0000"/>
          <w:lang w:eastAsia="ka-GE"/>
        </w:rPr>
      </w:pPr>
      <w:r w:rsidRPr="006C23F5">
        <w:rPr>
          <w:color w:val="FF0000"/>
          <w:lang w:eastAsia="ka-GE"/>
        </w:rPr>
        <w:t>10. The Customer is aware and declares his/her consent to processing his/her data and making screenshots of video and photo recordings during the online identification process. The Bank shall keep the photos/screenshots/video recordings/audio recordings for the period prescribed by legislation and the regulations of the Bank. The Customer’s personal data may be made available to third parties providing services (IDnow GmbH, Identomat Inc), whose software is used by the Bank for identification/verification.</w:t>
      </w:r>
    </w:p>
    <w:p w14:paraId="74BB4BE8" w14:textId="58AA40C9" w:rsidR="00AE3CC1" w:rsidRPr="006C23F5" w:rsidRDefault="00AE3CC1" w:rsidP="00AE3CC1">
      <w:pPr>
        <w:shd w:val="clear" w:color="auto" w:fill="FFFFFF"/>
        <w:spacing w:before="60" w:after="60" w:line="288" w:lineRule="auto"/>
        <w:jc w:val="both"/>
        <w:rPr>
          <w:rFonts w:ascii="Calibri" w:hAnsi="Calibri"/>
          <w:color w:val="FF0000"/>
          <w:lang w:val="ka-GE" w:eastAsia="ka-GE"/>
        </w:rPr>
      </w:pPr>
      <w:r w:rsidRPr="006C23F5">
        <w:rPr>
          <w:color w:val="FF0000"/>
          <w:lang w:eastAsia="ka-GE"/>
        </w:rPr>
        <w:t>11. Any request/application/order/message of the Customer received by the Bank during the online identification process and/or via Internet Banking has the same legal force as a document confirmed (executed in writing and signed) by the Customer, and in case of a dispute, such video recording and/or corresponding request/application/order/message shall be used as evidence.”</w:t>
      </w:r>
    </w:p>
    <w:p w14:paraId="1498F60D" w14:textId="06649396" w:rsidR="00AE3CC1" w:rsidRPr="006C23F5" w:rsidRDefault="00AE3CC1" w:rsidP="00AE3CC1">
      <w:pPr>
        <w:pStyle w:val="ListParagraph"/>
        <w:spacing w:before="60" w:after="60" w:line="288" w:lineRule="auto"/>
        <w:jc w:val="both"/>
        <w:rPr>
          <w:rFonts w:ascii="Arial" w:hAnsi="Arial" w:cs="Arial"/>
          <w:color w:val="FF0000"/>
        </w:rPr>
      </w:pPr>
    </w:p>
    <w:p w14:paraId="46FAF725" w14:textId="0F242387" w:rsidR="003D33DF" w:rsidRPr="006C23F5" w:rsidRDefault="003D33DF" w:rsidP="00682BEB">
      <w:pPr>
        <w:jc w:val="both"/>
        <w:rPr>
          <w:rFonts w:ascii="Sylfaen" w:hAnsi="Sylfaen" w:cs="Arial"/>
          <w:lang w:val="en-US"/>
        </w:rPr>
      </w:pPr>
    </w:p>
    <w:p w14:paraId="4120DECF" w14:textId="77777777" w:rsidR="0055618E" w:rsidRPr="006C23F5" w:rsidRDefault="0055618E" w:rsidP="00D90334">
      <w:pPr>
        <w:spacing w:before="60" w:after="60" w:line="288" w:lineRule="auto"/>
        <w:contextualSpacing/>
        <w:jc w:val="both"/>
        <w:rPr>
          <w:rFonts w:ascii="Sylfaen" w:hAnsi="Sylfaen" w:cs="Arial"/>
          <w:lang w:val="en-US"/>
        </w:rPr>
      </w:pPr>
    </w:p>
    <w:sectPr w:rsidR="0055618E" w:rsidRPr="006C23F5" w:rsidSect="00861743">
      <w:headerReference w:type="default" r:id="rId8"/>
      <w:pgSz w:w="12240" w:h="15840"/>
      <w:pgMar w:top="851"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AB1F" w14:textId="77777777" w:rsidR="00302687" w:rsidRDefault="00302687" w:rsidP="00294192">
      <w:r>
        <w:separator/>
      </w:r>
    </w:p>
  </w:endnote>
  <w:endnote w:type="continuationSeparator" w:id="0">
    <w:p w14:paraId="48FA809C" w14:textId="77777777" w:rsidR="00302687" w:rsidRDefault="00302687" w:rsidP="002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E2BA" w14:textId="77777777" w:rsidR="00302687" w:rsidRDefault="00302687" w:rsidP="00294192">
      <w:r>
        <w:separator/>
      </w:r>
    </w:p>
  </w:footnote>
  <w:footnote w:type="continuationSeparator" w:id="0">
    <w:p w14:paraId="1C961AE6" w14:textId="77777777" w:rsidR="00302687" w:rsidRDefault="00302687" w:rsidP="0029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6505" w14:textId="537C97F0" w:rsidR="00294192" w:rsidRDefault="00294192">
    <w:pPr>
      <w:pStyle w:val="Header"/>
    </w:pPr>
    <w:r>
      <w:rPr>
        <w:noProof/>
        <w:lang w:val="en-US" w:eastAsia="en-US" w:bidi="ar-SA"/>
      </w:rPr>
      <mc:AlternateContent>
        <mc:Choice Requires="wps">
          <w:drawing>
            <wp:anchor distT="0" distB="0" distL="114300" distR="114300" simplePos="0" relativeHeight="251659264" behindDoc="0" locked="0" layoutInCell="0" allowOverlap="1" wp14:anchorId="6DDDB338" wp14:editId="102245B3">
              <wp:simplePos x="0" y="0"/>
              <wp:positionH relativeFrom="page">
                <wp:posOffset>0</wp:posOffset>
              </wp:positionH>
              <wp:positionV relativeFrom="page">
                <wp:posOffset>190500</wp:posOffset>
              </wp:positionV>
              <wp:extent cx="7772400" cy="273050"/>
              <wp:effectExtent l="0" t="0" r="0" b="12700"/>
              <wp:wrapNone/>
              <wp:docPr id="1" name="MSIPCM8a5048cab68b7cf656cc53d9" descr="{&quot;HashCode&quot;:-136021891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5087E" w14:textId="1391C292" w:rsidR="00294192" w:rsidRPr="00294192" w:rsidRDefault="00294192" w:rsidP="00294192">
                          <w:pPr>
                            <w:jc w:val="center"/>
                            <w:rPr>
                              <w:rFonts w:ascii="Calibri" w:hAnsi="Calibri" w:cs="Calibri"/>
                              <w:color w:val="0078D7"/>
                              <w:sz w:val="20"/>
                            </w:rPr>
                          </w:pPr>
                          <w:r w:rsidRPr="00294192">
                            <w:rPr>
                              <w:rFonts w:ascii="Calibri" w:hAnsi="Calibri" w:cs="Calibri"/>
                              <w:color w:val="0078D7"/>
                              <w:sz w:val="20"/>
                            </w:rPr>
                            <w:t>Classification: Restricted to Partners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DDB338" id="_x0000_t202" coordsize="21600,21600" o:spt="202" path="m,l,21600r21600,l21600,xe">
              <v:stroke joinstyle="miter"/>
              <v:path gradientshapeok="t" o:connecttype="rect"/>
            </v:shapetype>
            <v:shape id="MSIPCM8a5048cab68b7cf656cc53d9" o:spid="_x0000_s1026" type="#_x0000_t202" alt="{&quot;HashCode&quot;:-136021891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" o:allowincell="f" filled="f" stroked="f" strokeweight=".5pt">
              <v:textbox inset=",0,,0">
                <w:txbxContent>
                  <w:p w14:paraId="07C5087E" w14:textId="1391C292" w:rsidR="00294192" w:rsidRPr="00294192" w:rsidRDefault="00294192" w:rsidP="00294192">
                    <w:pPr>
                      <w:jc w:val="center"/>
                      <w:rPr>
                        <w:rFonts w:ascii="Calibri" w:hAnsi="Calibri" w:cs="Calibri"/>
                        <w:color w:val="0078D7"/>
                        <w:sz w:val="20"/>
                      </w:rPr>
                    </w:pPr>
                    <w:r w:rsidRPr="00294192">
                      <w:rPr>
                        <w:rFonts w:ascii="Calibri" w:hAnsi="Calibri" w:cs="Calibri"/>
                        <w:color w:val="0078D7"/>
                        <w:sz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3E2"/>
    <w:multiLevelType w:val="multilevel"/>
    <w:tmpl w:val="B2C6D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8430B"/>
    <w:multiLevelType w:val="hybridMultilevel"/>
    <w:tmpl w:val="3878B2E0"/>
    <w:lvl w:ilvl="0" w:tplc="0409000F">
      <w:start w:val="1"/>
      <w:numFmt w:val="decimal"/>
      <w:lvlText w:val="%1."/>
      <w:lvlJc w:val="left"/>
      <w:pPr>
        <w:ind w:left="720" w:hanging="360"/>
      </w:pPr>
    </w:lvl>
    <w:lvl w:ilvl="1" w:tplc="D59C4590">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0F27"/>
    <w:multiLevelType w:val="hybridMultilevel"/>
    <w:tmpl w:val="A1F83A62"/>
    <w:lvl w:ilvl="0" w:tplc="B05C3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02DB7"/>
    <w:multiLevelType w:val="hybridMultilevel"/>
    <w:tmpl w:val="8E54B5E6"/>
    <w:lvl w:ilvl="0" w:tplc="FFFFFFFF">
      <w:start w:val="1"/>
      <w:numFmt w:val="decimal"/>
      <w:lvlText w:val="%1."/>
      <w:lvlJc w:val="left"/>
      <w:pPr>
        <w:ind w:left="502" w:hanging="360"/>
      </w:pPr>
      <w:rPr>
        <w:rFonts w:cs="Sylfaen"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15104043"/>
    <w:multiLevelType w:val="hybridMultilevel"/>
    <w:tmpl w:val="276E121A"/>
    <w:lvl w:ilvl="0" w:tplc="F67EDD66">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9C6BDA"/>
    <w:multiLevelType w:val="multilevel"/>
    <w:tmpl w:val="8F287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6C61C6"/>
    <w:multiLevelType w:val="multilevel"/>
    <w:tmpl w:val="68C84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68201D"/>
    <w:multiLevelType w:val="hybridMultilevel"/>
    <w:tmpl w:val="896682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302"/>
    <w:multiLevelType w:val="multilevel"/>
    <w:tmpl w:val="73F05E5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9" w15:restartNumberingAfterBreak="0">
    <w:nsid w:val="32FC3C19"/>
    <w:multiLevelType w:val="hybridMultilevel"/>
    <w:tmpl w:val="8766FE0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3A92367B"/>
    <w:multiLevelType w:val="multilevel"/>
    <w:tmpl w:val="9EA8001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721176"/>
    <w:multiLevelType w:val="multilevel"/>
    <w:tmpl w:val="07F6C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15A18"/>
    <w:multiLevelType w:val="multilevel"/>
    <w:tmpl w:val="A71A1D5A"/>
    <w:lvl w:ilvl="0">
      <w:start w:val="1"/>
      <w:numFmt w:val="decimal"/>
      <w:lvlText w:val="%1."/>
      <w:lvlJc w:val="left"/>
      <w:pPr>
        <w:ind w:left="644" w:hanging="360"/>
      </w:pPr>
      <w:rPr>
        <w:rFonts w:hint="default"/>
        <w:color w:val="FF0000"/>
        <w:sz w:val="22"/>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431F3615"/>
    <w:multiLevelType w:val="multilevel"/>
    <w:tmpl w:val="13A64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3A08C1"/>
    <w:multiLevelType w:val="hybridMultilevel"/>
    <w:tmpl w:val="EABAA7C8"/>
    <w:lvl w:ilvl="0" w:tplc="53D229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10CFB"/>
    <w:multiLevelType w:val="multilevel"/>
    <w:tmpl w:val="40AEA7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D5A40CA"/>
    <w:multiLevelType w:val="hybridMultilevel"/>
    <w:tmpl w:val="760ACEAE"/>
    <w:lvl w:ilvl="0" w:tplc="31B8E4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D10A9"/>
    <w:multiLevelType w:val="hybridMultilevel"/>
    <w:tmpl w:val="90348F5E"/>
    <w:lvl w:ilvl="0" w:tplc="5B4261A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B7D2322"/>
    <w:multiLevelType w:val="hybridMultilevel"/>
    <w:tmpl w:val="C5C8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7A1"/>
    <w:multiLevelType w:val="multilevel"/>
    <w:tmpl w:val="D392442C"/>
    <w:lvl w:ilvl="0">
      <w:start w:val="4"/>
      <w:numFmt w:val="decimal"/>
      <w:lvlText w:val="%1."/>
      <w:lvlJc w:val="left"/>
      <w:pPr>
        <w:ind w:left="360" w:hanging="360"/>
      </w:pPr>
      <w:rPr>
        <w:rFonts w:ascii="Arial" w:hAnsi="Arial" w:cs="Arial" w:hint="default"/>
      </w:rPr>
    </w:lvl>
    <w:lvl w:ilvl="1">
      <w:start w:val="1"/>
      <w:numFmt w:val="decimal"/>
      <w:lvlText w:val="%1.%2."/>
      <w:lvlJc w:val="left"/>
      <w:pPr>
        <w:ind w:left="1004" w:hanging="720"/>
      </w:pPr>
      <w:rPr>
        <w:rFonts w:ascii="Arial" w:hAnsi="Arial" w:cs="Arial" w:hint="default"/>
      </w:rPr>
    </w:lvl>
    <w:lvl w:ilvl="2">
      <w:start w:val="1"/>
      <w:numFmt w:val="decimal"/>
      <w:lvlText w:val="%1.%2.%3."/>
      <w:lvlJc w:val="left"/>
      <w:pPr>
        <w:ind w:left="1288" w:hanging="720"/>
      </w:pPr>
      <w:rPr>
        <w:rFonts w:ascii="Sylfaen" w:hAnsi="Sylfaen" w:hint="default"/>
      </w:rPr>
    </w:lvl>
    <w:lvl w:ilvl="3">
      <w:start w:val="1"/>
      <w:numFmt w:val="decimal"/>
      <w:lvlText w:val="%1.%2.%3.%4."/>
      <w:lvlJc w:val="left"/>
      <w:pPr>
        <w:ind w:left="1932" w:hanging="1080"/>
      </w:pPr>
      <w:rPr>
        <w:rFonts w:ascii="Sylfaen" w:hAnsi="Sylfaen" w:hint="default"/>
      </w:rPr>
    </w:lvl>
    <w:lvl w:ilvl="4">
      <w:start w:val="1"/>
      <w:numFmt w:val="decimal"/>
      <w:lvlText w:val="%1.%2.%3.%4.%5."/>
      <w:lvlJc w:val="left"/>
      <w:pPr>
        <w:ind w:left="2216" w:hanging="1080"/>
      </w:pPr>
      <w:rPr>
        <w:rFonts w:ascii="Sylfaen" w:hAnsi="Sylfaen" w:hint="default"/>
      </w:rPr>
    </w:lvl>
    <w:lvl w:ilvl="5">
      <w:start w:val="1"/>
      <w:numFmt w:val="decimal"/>
      <w:lvlText w:val="%1.%2.%3.%4.%5.%6."/>
      <w:lvlJc w:val="left"/>
      <w:pPr>
        <w:ind w:left="2860" w:hanging="1440"/>
      </w:pPr>
      <w:rPr>
        <w:rFonts w:ascii="Sylfaen" w:hAnsi="Sylfaen" w:hint="default"/>
      </w:rPr>
    </w:lvl>
    <w:lvl w:ilvl="6">
      <w:start w:val="1"/>
      <w:numFmt w:val="decimal"/>
      <w:lvlText w:val="%1.%2.%3.%4.%5.%6.%7."/>
      <w:lvlJc w:val="left"/>
      <w:pPr>
        <w:ind w:left="3144" w:hanging="1440"/>
      </w:pPr>
      <w:rPr>
        <w:rFonts w:ascii="Sylfaen" w:hAnsi="Sylfaen" w:hint="default"/>
      </w:rPr>
    </w:lvl>
    <w:lvl w:ilvl="7">
      <w:start w:val="1"/>
      <w:numFmt w:val="decimal"/>
      <w:lvlText w:val="%1.%2.%3.%4.%5.%6.%7.%8."/>
      <w:lvlJc w:val="left"/>
      <w:pPr>
        <w:ind w:left="3788" w:hanging="1800"/>
      </w:pPr>
      <w:rPr>
        <w:rFonts w:ascii="Sylfaen" w:hAnsi="Sylfaen" w:hint="default"/>
      </w:rPr>
    </w:lvl>
    <w:lvl w:ilvl="8">
      <w:start w:val="1"/>
      <w:numFmt w:val="decimal"/>
      <w:lvlText w:val="%1.%2.%3.%4.%5.%6.%7.%8.%9."/>
      <w:lvlJc w:val="left"/>
      <w:pPr>
        <w:ind w:left="4432" w:hanging="2160"/>
      </w:pPr>
      <w:rPr>
        <w:rFonts w:ascii="Sylfaen" w:hAnsi="Sylfaen" w:hint="default"/>
      </w:rPr>
    </w:lvl>
  </w:abstractNum>
  <w:abstractNum w:abstractNumId="20" w15:restartNumberingAfterBreak="0">
    <w:nsid w:val="75755C08"/>
    <w:multiLevelType w:val="hybridMultilevel"/>
    <w:tmpl w:val="DF6AA0A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76892614"/>
    <w:multiLevelType w:val="multilevel"/>
    <w:tmpl w:val="D93EB244"/>
    <w:lvl w:ilvl="0">
      <w:start w:val="1"/>
      <w:numFmt w:val="decimal"/>
      <w:lvlText w:val="%1."/>
      <w:lvlJc w:val="left"/>
      <w:pPr>
        <w:tabs>
          <w:tab w:val="num" w:pos="360"/>
        </w:tabs>
        <w:ind w:left="360" w:hanging="360"/>
      </w:pPr>
      <w:rPr>
        <w:rFonts w:ascii="Arial" w:hAnsi="Arial" w:cs="Arial" w:hint="default"/>
        <w:sz w:val="22"/>
      </w:rPr>
    </w:lvl>
    <w:lvl w:ilvl="1">
      <w:start w:val="1"/>
      <w:numFmt w:val="decimal"/>
      <w:lvlText w:val="%2."/>
      <w:lvlJc w:val="left"/>
      <w:pPr>
        <w:tabs>
          <w:tab w:val="num" w:pos="284"/>
        </w:tabs>
        <w:ind w:left="284" w:firstLine="0"/>
      </w:pPr>
      <w:rPr>
        <w:rFonts w:ascii="Arial" w:eastAsia="Calibri" w:hAnsi="Arial" w:cs="Arial" w:hint="default"/>
        <w:b w:val="0"/>
        <w:sz w:val="22"/>
        <w:szCs w:val="24"/>
      </w:rPr>
    </w:lvl>
    <w:lvl w:ilvl="2">
      <w:start w:val="1"/>
      <w:numFmt w:val="decimal"/>
      <w:lvlText w:val="%1.%2.%3."/>
      <w:lvlJc w:val="left"/>
      <w:pPr>
        <w:tabs>
          <w:tab w:val="num" w:pos="360"/>
        </w:tabs>
        <w:ind w:left="2160" w:hanging="180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77973788"/>
    <w:multiLevelType w:val="hybridMultilevel"/>
    <w:tmpl w:val="F60E1392"/>
    <w:lvl w:ilvl="0" w:tplc="05D65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A5EBE"/>
    <w:multiLevelType w:val="multilevel"/>
    <w:tmpl w:val="52B42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3"/>
  </w:num>
  <w:num w:numId="3">
    <w:abstractNumId w:val="8"/>
  </w:num>
  <w:num w:numId="4">
    <w:abstractNumId w:val="20"/>
  </w:num>
  <w:num w:numId="5">
    <w:abstractNumId w:val="17"/>
  </w:num>
  <w:num w:numId="6">
    <w:abstractNumId w:val="15"/>
  </w:num>
  <w:num w:numId="7">
    <w:abstractNumId w:val="14"/>
  </w:num>
  <w:num w:numId="8">
    <w:abstractNumId w:val="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1"/>
  </w:num>
  <w:num w:numId="14">
    <w:abstractNumId w:val="22"/>
  </w:num>
  <w:num w:numId="15">
    <w:abstractNumId w:val="13"/>
  </w:num>
  <w:num w:numId="16">
    <w:abstractNumId w:val="6"/>
  </w:num>
  <w:num w:numId="17">
    <w:abstractNumId w:val="0"/>
  </w:num>
  <w:num w:numId="18">
    <w:abstractNumId w:val="16"/>
  </w:num>
  <w:num w:numId="19">
    <w:abstractNumId w:val="5"/>
  </w:num>
  <w:num w:numId="20">
    <w:abstractNumId w:val="21"/>
  </w:num>
  <w:num w:numId="21">
    <w:abstractNumId w:val="12"/>
  </w:num>
  <w:num w:numId="22">
    <w:abstractNumId w:val="19"/>
  </w:num>
  <w:num w:numId="23">
    <w:abstractNumId w:val="18"/>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53"/>
    <w:rsid w:val="000178E6"/>
    <w:rsid w:val="000507B1"/>
    <w:rsid w:val="000558E6"/>
    <w:rsid w:val="0008743B"/>
    <w:rsid w:val="00092B1E"/>
    <w:rsid w:val="000E0B4E"/>
    <w:rsid w:val="000E7115"/>
    <w:rsid w:val="00122477"/>
    <w:rsid w:val="0015206E"/>
    <w:rsid w:val="00163831"/>
    <w:rsid w:val="00172E3F"/>
    <w:rsid w:val="00174990"/>
    <w:rsid w:val="00183438"/>
    <w:rsid w:val="001872A6"/>
    <w:rsid w:val="00196D9D"/>
    <w:rsid w:val="001B46A1"/>
    <w:rsid w:val="001D1C35"/>
    <w:rsid w:val="001F78F6"/>
    <w:rsid w:val="00204EA8"/>
    <w:rsid w:val="002076A8"/>
    <w:rsid w:val="0021049A"/>
    <w:rsid w:val="00247A6B"/>
    <w:rsid w:val="00272FCF"/>
    <w:rsid w:val="00274E7A"/>
    <w:rsid w:val="00276734"/>
    <w:rsid w:val="00294192"/>
    <w:rsid w:val="00302687"/>
    <w:rsid w:val="00331BA1"/>
    <w:rsid w:val="00336BC0"/>
    <w:rsid w:val="00336C67"/>
    <w:rsid w:val="003627E2"/>
    <w:rsid w:val="00363DEB"/>
    <w:rsid w:val="00366503"/>
    <w:rsid w:val="00371E40"/>
    <w:rsid w:val="00381BA4"/>
    <w:rsid w:val="003D3173"/>
    <w:rsid w:val="003D33DF"/>
    <w:rsid w:val="003E7081"/>
    <w:rsid w:val="004426DF"/>
    <w:rsid w:val="004577DD"/>
    <w:rsid w:val="00494249"/>
    <w:rsid w:val="004B2A60"/>
    <w:rsid w:val="004D502F"/>
    <w:rsid w:val="004D6AB6"/>
    <w:rsid w:val="004F3DF2"/>
    <w:rsid w:val="00531042"/>
    <w:rsid w:val="0054512A"/>
    <w:rsid w:val="0055618E"/>
    <w:rsid w:val="00573D9C"/>
    <w:rsid w:val="00575933"/>
    <w:rsid w:val="00584281"/>
    <w:rsid w:val="006315FD"/>
    <w:rsid w:val="006428C3"/>
    <w:rsid w:val="00650BE9"/>
    <w:rsid w:val="00666BEA"/>
    <w:rsid w:val="00682BEB"/>
    <w:rsid w:val="006B69F1"/>
    <w:rsid w:val="006C18DA"/>
    <w:rsid w:val="006C23F5"/>
    <w:rsid w:val="006C4EC8"/>
    <w:rsid w:val="006F02E8"/>
    <w:rsid w:val="00733E93"/>
    <w:rsid w:val="00746B8E"/>
    <w:rsid w:val="00755BC5"/>
    <w:rsid w:val="007701D1"/>
    <w:rsid w:val="00774739"/>
    <w:rsid w:val="007A2B98"/>
    <w:rsid w:val="007E0510"/>
    <w:rsid w:val="007E0DE8"/>
    <w:rsid w:val="007E4566"/>
    <w:rsid w:val="007F4D23"/>
    <w:rsid w:val="007F5C46"/>
    <w:rsid w:val="00830B7D"/>
    <w:rsid w:val="00861743"/>
    <w:rsid w:val="0088638E"/>
    <w:rsid w:val="008C0226"/>
    <w:rsid w:val="008C5651"/>
    <w:rsid w:val="008D14F3"/>
    <w:rsid w:val="008E1593"/>
    <w:rsid w:val="008E5C71"/>
    <w:rsid w:val="0090786A"/>
    <w:rsid w:val="009672F2"/>
    <w:rsid w:val="009A381F"/>
    <w:rsid w:val="009B03E7"/>
    <w:rsid w:val="009E270A"/>
    <w:rsid w:val="009E4375"/>
    <w:rsid w:val="009E5D1B"/>
    <w:rsid w:val="00A23C7B"/>
    <w:rsid w:val="00A25B49"/>
    <w:rsid w:val="00A55A88"/>
    <w:rsid w:val="00A62953"/>
    <w:rsid w:val="00A70793"/>
    <w:rsid w:val="00A75003"/>
    <w:rsid w:val="00AA35C2"/>
    <w:rsid w:val="00AB42DC"/>
    <w:rsid w:val="00AC6468"/>
    <w:rsid w:val="00AE3CC1"/>
    <w:rsid w:val="00AF12EC"/>
    <w:rsid w:val="00B03B6E"/>
    <w:rsid w:val="00B204A3"/>
    <w:rsid w:val="00B569FF"/>
    <w:rsid w:val="00B635D9"/>
    <w:rsid w:val="00B677F8"/>
    <w:rsid w:val="00B71AD7"/>
    <w:rsid w:val="00BA00EA"/>
    <w:rsid w:val="00BA4001"/>
    <w:rsid w:val="00BA5105"/>
    <w:rsid w:val="00BC16ED"/>
    <w:rsid w:val="00BC748C"/>
    <w:rsid w:val="00BD7FC1"/>
    <w:rsid w:val="00BF1F55"/>
    <w:rsid w:val="00C20E37"/>
    <w:rsid w:val="00C24858"/>
    <w:rsid w:val="00C5023C"/>
    <w:rsid w:val="00C5521C"/>
    <w:rsid w:val="00C7638B"/>
    <w:rsid w:val="00CD6B98"/>
    <w:rsid w:val="00CE309C"/>
    <w:rsid w:val="00CE683D"/>
    <w:rsid w:val="00CF7A33"/>
    <w:rsid w:val="00D168FB"/>
    <w:rsid w:val="00D3782D"/>
    <w:rsid w:val="00D5682E"/>
    <w:rsid w:val="00D57E07"/>
    <w:rsid w:val="00D6291B"/>
    <w:rsid w:val="00D664F7"/>
    <w:rsid w:val="00D90334"/>
    <w:rsid w:val="00D97D92"/>
    <w:rsid w:val="00DA54AA"/>
    <w:rsid w:val="00DD0E4A"/>
    <w:rsid w:val="00DD2E34"/>
    <w:rsid w:val="00DD5956"/>
    <w:rsid w:val="00DF4776"/>
    <w:rsid w:val="00E20361"/>
    <w:rsid w:val="00E458E3"/>
    <w:rsid w:val="00E53464"/>
    <w:rsid w:val="00E702BA"/>
    <w:rsid w:val="00E75BA7"/>
    <w:rsid w:val="00E9432C"/>
    <w:rsid w:val="00E959F4"/>
    <w:rsid w:val="00E973FA"/>
    <w:rsid w:val="00EB37A1"/>
    <w:rsid w:val="00EC1FDE"/>
    <w:rsid w:val="00ED6DD4"/>
    <w:rsid w:val="00EF4C3E"/>
    <w:rsid w:val="00F03497"/>
    <w:rsid w:val="00F13807"/>
    <w:rsid w:val="00F33F99"/>
    <w:rsid w:val="00F43486"/>
    <w:rsid w:val="00F5713D"/>
    <w:rsid w:val="00F82464"/>
    <w:rsid w:val="00FB0C3E"/>
    <w:rsid w:val="00FB1AB2"/>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3D65"/>
  <w15:docId w15:val="{21224A5C-9BEC-4017-84AF-DBF2BE6D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7B1"/>
    <w:pPr>
      <w:spacing w:after="0" w:line="240" w:lineRule="auto"/>
    </w:pPr>
    <w:rPr>
      <w:rFonts w:ascii="Times New Roman" w:eastAsia="Times New Roman" w:hAnsi="Times New Roman" w:cs="Times New Roman"/>
      <w:sz w:val="24"/>
      <w:szCs w:val="24"/>
      <w:lang w:val="en-GB" w:eastAsia="en-GB" w:bidi="en-GB"/>
    </w:rPr>
  </w:style>
  <w:style w:type="paragraph" w:styleId="Heading2">
    <w:name w:val="heading 2"/>
    <w:basedOn w:val="Normal"/>
    <w:next w:val="Normal"/>
    <w:link w:val="Heading2Char"/>
    <w:uiPriority w:val="9"/>
    <w:unhideWhenUsed/>
    <w:qFormat/>
    <w:rsid w:val="00CD6B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8E5C7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C71"/>
    <w:pPr>
      <w:autoSpaceDE w:val="0"/>
      <w:autoSpaceDN w:val="0"/>
      <w:adjustRightInd w:val="0"/>
      <w:spacing w:after="0" w:line="240" w:lineRule="auto"/>
    </w:pPr>
    <w:rPr>
      <w:rFonts w:ascii="Sylfaen" w:hAnsi="Sylfaen" w:cs="Sylfaen"/>
      <w:color w:val="000000"/>
      <w:sz w:val="24"/>
      <w:szCs w:val="24"/>
    </w:rPr>
  </w:style>
  <w:style w:type="character" w:customStyle="1" w:styleId="Heading3Char">
    <w:name w:val="Heading 3 Char"/>
    <w:basedOn w:val="DefaultParagraphFont"/>
    <w:link w:val="Heading3"/>
    <w:semiHidden/>
    <w:rsid w:val="008E5C71"/>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8E5C71"/>
    <w:pPr>
      <w:spacing w:after="200" w:line="276" w:lineRule="auto"/>
      <w:ind w:left="720"/>
      <w:contextualSpacing/>
    </w:pPr>
    <w:rPr>
      <w:rFonts w:ascii="Calibri" w:eastAsia="Calibri" w:hAnsi="Calibri"/>
    </w:rPr>
  </w:style>
  <w:style w:type="character" w:styleId="PageNumber">
    <w:name w:val="page number"/>
    <w:basedOn w:val="DefaultParagraphFont"/>
    <w:rsid w:val="00DD2E34"/>
  </w:style>
  <w:style w:type="character" w:styleId="Hyperlink">
    <w:name w:val="Hyperlink"/>
    <w:basedOn w:val="DefaultParagraphFont"/>
    <w:uiPriority w:val="99"/>
    <w:unhideWhenUsed/>
    <w:rsid w:val="00AC6468"/>
    <w:rPr>
      <w:color w:val="0563C1" w:themeColor="hyperlink"/>
      <w:u w:val="single"/>
    </w:rPr>
  </w:style>
  <w:style w:type="character" w:customStyle="1" w:styleId="Heading2Char">
    <w:name w:val="Heading 2 Char"/>
    <w:basedOn w:val="DefaultParagraphFont"/>
    <w:link w:val="Heading2"/>
    <w:uiPriority w:val="9"/>
    <w:rsid w:val="00CD6B98"/>
    <w:rPr>
      <w:rFonts w:asciiTheme="majorHAnsi" w:eastAsiaTheme="majorEastAsia" w:hAnsiTheme="majorHAnsi" w:cstheme="majorBidi"/>
      <w:color w:val="2E74B5" w:themeColor="accent1" w:themeShade="BF"/>
      <w:sz w:val="26"/>
      <w:szCs w:val="26"/>
      <w:lang w:val="en-GB" w:eastAsia="en-GB" w:bidi="en-GB"/>
    </w:rPr>
  </w:style>
  <w:style w:type="character" w:styleId="CommentReference">
    <w:name w:val="annotation reference"/>
    <w:basedOn w:val="DefaultParagraphFont"/>
    <w:uiPriority w:val="99"/>
    <w:semiHidden/>
    <w:unhideWhenUsed/>
    <w:rsid w:val="00FE0A2B"/>
    <w:rPr>
      <w:sz w:val="16"/>
      <w:szCs w:val="16"/>
    </w:rPr>
  </w:style>
  <w:style w:type="paragraph" w:styleId="CommentText">
    <w:name w:val="annotation text"/>
    <w:basedOn w:val="Normal"/>
    <w:link w:val="CommentTextChar"/>
    <w:uiPriority w:val="99"/>
    <w:semiHidden/>
    <w:unhideWhenUsed/>
    <w:rsid w:val="00FE0A2B"/>
    <w:rPr>
      <w:sz w:val="20"/>
      <w:szCs w:val="20"/>
    </w:rPr>
  </w:style>
  <w:style w:type="character" w:customStyle="1" w:styleId="CommentTextChar">
    <w:name w:val="Comment Text Char"/>
    <w:basedOn w:val="DefaultParagraphFont"/>
    <w:link w:val="CommentText"/>
    <w:uiPriority w:val="99"/>
    <w:semiHidden/>
    <w:rsid w:val="00FE0A2B"/>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E0A2B"/>
    <w:rPr>
      <w:b/>
      <w:bCs/>
    </w:rPr>
  </w:style>
  <w:style w:type="character" w:customStyle="1" w:styleId="CommentSubjectChar">
    <w:name w:val="Comment Subject Char"/>
    <w:basedOn w:val="CommentTextChar"/>
    <w:link w:val="CommentSubject"/>
    <w:uiPriority w:val="99"/>
    <w:semiHidden/>
    <w:rsid w:val="00FE0A2B"/>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uiPriority w:val="99"/>
    <w:semiHidden/>
    <w:unhideWhenUsed/>
    <w:rsid w:val="00FE0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A2B"/>
    <w:rPr>
      <w:rFonts w:ascii="Segoe UI" w:eastAsia="Times New Roman" w:hAnsi="Segoe UI" w:cs="Segoe UI"/>
      <w:sz w:val="18"/>
      <w:szCs w:val="18"/>
      <w:lang w:val="en-GB" w:eastAsia="en-GB" w:bidi="en-GB"/>
    </w:rPr>
  </w:style>
  <w:style w:type="paragraph" w:styleId="Header">
    <w:name w:val="header"/>
    <w:basedOn w:val="Normal"/>
    <w:link w:val="HeaderChar"/>
    <w:uiPriority w:val="99"/>
    <w:unhideWhenUsed/>
    <w:rsid w:val="00294192"/>
    <w:pPr>
      <w:tabs>
        <w:tab w:val="center" w:pos="4513"/>
        <w:tab w:val="right" w:pos="9026"/>
      </w:tabs>
    </w:pPr>
  </w:style>
  <w:style w:type="character" w:customStyle="1" w:styleId="HeaderChar">
    <w:name w:val="Header Char"/>
    <w:basedOn w:val="DefaultParagraphFont"/>
    <w:link w:val="Header"/>
    <w:uiPriority w:val="99"/>
    <w:rsid w:val="00294192"/>
    <w:rPr>
      <w:rFonts w:ascii="Times New Roman" w:eastAsia="Times New Roman" w:hAnsi="Times New Roman" w:cs="Times New Roman"/>
      <w:sz w:val="24"/>
      <w:szCs w:val="24"/>
      <w:lang w:val="en-GB" w:eastAsia="en-GB" w:bidi="en-GB"/>
    </w:rPr>
  </w:style>
  <w:style w:type="paragraph" w:styleId="Footer">
    <w:name w:val="footer"/>
    <w:basedOn w:val="Normal"/>
    <w:link w:val="FooterChar"/>
    <w:uiPriority w:val="99"/>
    <w:unhideWhenUsed/>
    <w:rsid w:val="00294192"/>
    <w:pPr>
      <w:tabs>
        <w:tab w:val="center" w:pos="4513"/>
        <w:tab w:val="right" w:pos="9026"/>
      </w:tabs>
    </w:pPr>
  </w:style>
  <w:style w:type="character" w:customStyle="1" w:styleId="FooterChar">
    <w:name w:val="Footer Char"/>
    <w:basedOn w:val="DefaultParagraphFont"/>
    <w:link w:val="Footer"/>
    <w:uiPriority w:val="99"/>
    <w:rsid w:val="00294192"/>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42942">
      <w:bodyDiv w:val="1"/>
      <w:marLeft w:val="0"/>
      <w:marRight w:val="0"/>
      <w:marTop w:val="0"/>
      <w:marBottom w:val="0"/>
      <w:divBdr>
        <w:top w:val="none" w:sz="0" w:space="0" w:color="auto"/>
        <w:left w:val="none" w:sz="0" w:space="0" w:color="auto"/>
        <w:bottom w:val="none" w:sz="0" w:space="0" w:color="auto"/>
        <w:right w:val="none" w:sz="0" w:space="0" w:color="auto"/>
      </w:divBdr>
    </w:div>
    <w:div w:id="1305237187">
      <w:bodyDiv w:val="1"/>
      <w:marLeft w:val="0"/>
      <w:marRight w:val="0"/>
      <w:marTop w:val="0"/>
      <w:marBottom w:val="0"/>
      <w:divBdr>
        <w:top w:val="none" w:sz="0" w:space="0" w:color="auto"/>
        <w:left w:val="none" w:sz="0" w:space="0" w:color="auto"/>
        <w:bottom w:val="none" w:sz="0" w:space="0" w:color="auto"/>
        <w:right w:val="none" w:sz="0" w:space="0" w:color="auto"/>
      </w:divBdr>
    </w:div>
    <w:div w:id="1339385877">
      <w:bodyDiv w:val="1"/>
      <w:marLeft w:val="0"/>
      <w:marRight w:val="0"/>
      <w:marTop w:val="0"/>
      <w:marBottom w:val="0"/>
      <w:divBdr>
        <w:top w:val="none" w:sz="0" w:space="0" w:color="auto"/>
        <w:left w:val="none" w:sz="0" w:space="0" w:color="auto"/>
        <w:bottom w:val="none" w:sz="0" w:space="0" w:color="auto"/>
        <w:right w:val="none" w:sz="0" w:space="0" w:color="auto"/>
      </w:divBdr>
    </w:div>
    <w:div w:id="1475414513">
      <w:bodyDiv w:val="1"/>
      <w:marLeft w:val="0"/>
      <w:marRight w:val="0"/>
      <w:marTop w:val="0"/>
      <w:marBottom w:val="0"/>
      <w:divBdr>
        <w:top w:val="none" w:sz="0" w:space="0" w:color="auto"/>
        <w:left w:val="none" w:sz="0" w:space="0" w:color="auto"/>
        <w:bottom w:val="none" w:sz="0" w:space="0" w:color="auto"/>
        <w:right w:val="none" w:sz="0" w:space="0" w:color="auto"/>
      </w:divBdr>
    </w:div>
    <w:div w:id="1497720066">
      <w:bodyDiv w:val="1"/>
      <w:marLeft w:val="0"/>
      <w:marRight w:val="0"/>
      <w:marTop w:val="0"/>
      <w:marBottom w:val="0"/>
      <w:divBdr>
        <w:top w:val="none" w:sz="0" w:space="0" w:color="auto"/>
        <w:left w:val="none" w:sz="0" w:space="0" w:color="auto"/>
        <w:bottom w:val="none" w:sz="0" w:space="0" w:color="auto"/>
        <w:right w:val="none" w:sz="0" w:space="0" w:color="auto"/>
      </w:divBdr>
    </w:div>
    <w:div w:id="1517844440">
      <w:bodyDiv w:val="1"/>
      <w:marLeft w:val="0"/>
      <w:marRight w:val="0"/>
      <w:marTop w:val="0"/>
      <w:marBottom w:val="0"/>
      <w:divBdr>
        <w:top w:val="none" w:sz="0" w:space="0" w:color="auto"/>
        <w:left w:val="none" w:sz="0" w:space="0" w:color="auto"/>
        <w:bottom w:val="none" w:sz="0" w:space="0" w:color="auto"/>
        <w:right w:val="none" w:sz="0" w:space="0" w:color="auto"/>
      </w:divBdr>
    </w:div>
    <w:div w:id="1627152173">
      <w:bodyDiv w:val="1"/>
      <w:marLeft w:val="0"/>
      <w:marRight w:val="0"/>
      <w:marTop w:val="0"/>
      <w:marBottom w:val="0"/>
      <w:divBdr>
        <w:top w:val="none" w:sz="0" w:space="0" w:color="auto"/>
        <w:left w:val="none" w:sz="0" w:space="0" w:color="auto"/>
        <w:bottom w:val="none" w:sz="0" w:space="0" w:color="auto"/>
        <w:right w:val="none" w:sz="0" w:space="0" w:color="auto"/>
      </w:divBdr>
    </w:div>
    <w:div w:id="20088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creditbank.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Kalandadze</dc:creator>
  <cp:lastModifiedBy>Tamar (Tata) Mdinaradze</cp:lastModifiedBy>
  <cp:revision>71</cp:revision>
  <dcterms:created xsi:type="dcterms:W3CDTF">2018-04-17T14:23:00Z</dcterms:created>
  <dcterms:modified xsi:type="dcterms:W3CDTF">2022-10-18T11:36:00Z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cbde42-0dd4-4942-9b1c-e23a1c4e5874_Enabled">
    <vt:lpwstr>true</vt:lpwstr>
  </property>
  <property fmtid="{D5CDD505-2E9C-101B-9397-08002B2CF9AE}" pid="3" name="MSIP_Label_78cbde42-0dd4-4942-9b1c-e23a1c4e5874_SetDate">
    <vt:lpwstr>2022-10-18T11:36:21Z</vt:lpwstr>
  </property>
  <property fmtid="{D5CDD505-2E9C-101B-9397-08002B2CF9AE}" pid="4" name="MSIP_Label_78cbde42-0dd4-4942-9b1c-e23a1c4e5874_Method">
    <vt:lpwstr>Standard</vt:lpwstr>
  </property>
  <property fmtid="{D5CDD505-2E9C-101B-9397-08002B2CF9AE}" pid="5" name="MSIP_Label_78cbde42-0dd4-4942-9b1c-e23a1c4e5874_Name">
    <vt:lpwstr>Restricted to Partners</vt:lpwstr>
  </property>
  <property fmtid="{D5CDD505-2E9C-101B-9397-08002B2CF9AE}" pid="6" name="MSIP_Label_78cbde42-0dd4-4942-9b1c-e23a1c4e5874_SiteId">
    <vt:lpwstr>3471ad6d-e2eb-4e85-93ae-c344b4ac592c</vt:lpwstr>
  </property>
  <property fmtid="{D5CDD505-2E9C-101B-9397-08002B2CF9AE}" pid="7" name="MSIP_Label_78cbde42-0dd4-4942-9b1c-e23a1c4e5874_ActionId">
    <vt:lpwstr>f3385d1b-a80c-480c-be1d-400528065159</vt:lpwstr>
  </property>
  <property fmtid="{D5CDD505-2E9C-101B-9397-08002B2CF9AE}" pid="8" name="MSIP_Label_78cbde42-0dd4-4942-9b1c-e23a1c4e5874_ContentBits">
    <vt:lpwstr>1</vt:lpwstr>
  </property>
</Properties>
</file>